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ascii="Arial" w:hAnsi="Arial" w:eastAsia="宋体"/>
          <w:b/>
          <w:i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TSG-RAN WG4 Meeting #100-e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/>
          <w:b/>
          <w:sz w:val="24"/>
          <w:lang w:eastAsia="zh-CN"/>
        </w:rPr>
        <w:t>R4-2113196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sz w:val="24"/>
          <w:lang w:val="en-GB" w:eastAsia="zh-CN"/>
        </w:rPr>
      </w:pPr>
      <w:r>
        <w:rPr>
          <w:rFonts w:ascii="Arial" w:hAnsi="Arial" w:eastAsia="宋体" w:cs="Arial"/>
          <w:b/>
          <w:sz w:val="24"/>
          <w:lang w:eastAsia="zh-CN"/>
        </w:rPr>
        <w:t>Electronic Meeting, August 16-27, 2021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4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sz w:val="24"/>
          <w:lang w:val="en-US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eastAsia="MS Mincho"/>
          <w:b/>
          <w:sz w:val="24"/>
          <w:lang w:eastAsia="zh-CN"/>
        </w:rPr>
      </w:pPr>
      <w:r>
        <w:rPr>
          <w:rFonts w:ascii="Arial" w:hAnsi="Arial" w:eastAsia="MS Mincho"/>
          <w:b/>
          <w:sz w:val="24"/>
        </w:rPr>
        <w:t>Title:</w:t>
      </w:r>
      <w:r>
        <w:rPr>
          <w:rFonts w:hint="eastAsia" w:ascii="Arial" w:hAnsi="Arial" w:eastAsia="宋体"/>
          <w:b/>
          <w:sz w:val="24"/>
          <w:lang w:eastAsia="zh-CN"/>
        </w:rPr>
        <w:t xml:space="preserve">          General </w:t>
      </w:r>
      <w:r>
        <w:rPr>
          <w:rFonts w:hint="eastAsia" w:ascii="Arial" w:hAnsi="Arial" w:eastAsia="MS Mincho"/>
          <w:b/>
          <w:sz w:val="24"/>
          <w:lang w:eastAsia="zh-CN"/>
        </w:rPr>
        <w:t>discussion on demodulation requirements</w:t>
      </w:r>
    </w:p>
    <w:p>
      <w:pPr>
        <w:pStyle w:val="14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sv-SE"/>
        </w:rPr>
        <w:t>Agenda Item:</w:t>
      </w:r>
      <w:r>
        <w:rPr>
          <w:sz w:val="24"/>
          <w:lang w:val="sv-SE"/>
        </w:rPr>
        <w:tab/>
      </w:r>
      <w:r>
        <w:rPr>
          <w:rFonts w:hint="eastAsia" w:eastAsia="宋体"/>
          <w:sz w:val="24"/>
          <w:lang w:val="en-US" w:eastAsia="zh-CN"/>
        </w:rPr>
        <w:t>9.9.5.1</w:t>
      </w:r>
    </w:p>
    <w:p>
      <w:pPr>
        <w:pStyle w:val="14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 xml:space="preserve">In the RAN4 99e meeting, several issues of reference signal for DL were discussed and some issues are still open in the agreed WF </w:t>
      </w:r>
      <w:r>
        <w:rPr>
          <w:rFonts w:hint="eastAsia" w:eastAsia="宋体"/>
          <w:szCs w:val="20"/>
          <w:vertAlign w:val="superscript"/>
          <w:lang w:val="en-US" w:eastAsia="zh-CN"/>
        </w:rPr>
        <w:t>[1]</w:t>
      </w:r>
      <w:r>
        <w:rPr>
          <w:rFonts w:hint="eastAsia" w:eastAsia="宋体"/>
          <w:szCs w:val="20"/>
          <w:lang w:val="en-US" w:eastAsia="zh-CN"/>
        </w:rPr>
        <w:t>.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In this contribution, some discussions on reference signal for demodulation requirements in FR2 HST are provided.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In the last meeting, the following RS configuration was reached for PDSCH:</w:t>
      </w:r>
    </w:p>
    <w:tbl>
      <w:tblPr>
        <w:tblStyle w:val="18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RS configuration</w:t>
            </w:r>
          </w:p>
          <w:p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Assumption of RS for frequency offset tracking is up to UE implementation, FFS the RS configuration for PDSCH requirement as </w:t>
            </w:r>
          </w:p>
          <w:p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Configure SSB every 20ms</w:t>
            </w:r>
          </w:p>
          <w:p>
            <w:pPr>
              <w:numPr>
                <w:ilvl w:val="0"/>
                <w:numId w:val="6"/>
              </w:numPr>
              <w:tabs>
                <w:tab w:val="left" w:pos="840"/>
                <w:tab w:val="clear" w:pos="42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Configure TRS every 10ms</w:t>
            </w:r>
          </w:p>
          <w:p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Configure PTRS with KPT-RSS=2 and LPT-RS=1</w:t>
            </w:r>
          </w:p>
        </w:tc>
      </w:tr>
    </w:tbl>
    <w:p>
      <w:pPr>
        <w:pStyle w:val="29"/>
        <w:suppressAutoHyphens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For SSB and TRS, we assume UE performs frequency offset compensation before demodulation, there would be residual frequency offset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bCs/>
          <w:kern w:val="0"/>
          <w:sz w:val="20"/>
          <w:szCs w:val="20"/>
        </w:rPr>
        <w:t>(RFO) after frequency offset compensation in each SSB/TRS period. RFO is relate</w:t>
      </w:r>
      <w:r>
        <w:rPr>
          <w:rFonts w:hint="eastAsia" w:ascii="Times New Roman" w:hAnsi="Times New Roman"/>
          <w:bCs/>
          <w:kern w:val="0"/>
          <w:sz w:val="20"/>
          <w:szCs w:val="20"/>
        </w:rPr>
        <w:t>d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to the channel model, switching point, period of SSB/TRS.</w:t>
      </w:r>
    </w:p>
    <w:p>
      <w:pPr>
        <w:pStyle w:val="29"/>
        <w:suppressAutoHyphens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The channel model for HST_FR2 was not reached, so we analyze Doppler tracking trajectory for different candidate channel models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which were discussed in RAN4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#</w:t>
      </w:r>
      <w:r>
        <w:rPr>
          <w:rFonts w:ascii="Times New Roman" w:hAnsi="Times New Roman"/>
          <w:bCs/>
          <w:kern w:val="0"/>
          <w:sz w:val="20"/>
          <w:szCs w:val="20"/>
        </w:rPr>
        <w:t>99</w:t>
      </w:r>
      <w:r>
        <w:rPr>
          <w:rFonts w:hint="eastAsia" w:ascii="Times New Roman" w:hAnsi="Times New Roman"/>
          <w:bCs/>
          <w:kern w:val="0"/>
          <w:sz w:val="20"/>
          <w:szCs w:val="20"/>
        </w:rPr>
        <w:t>-</w:t>
      </w:r>
      <w:r>
        <w:rPr>
          <w:rFonts w:ascii="Times New Roman" w:hAnsi="Times New Roman"/>
          <w:bCs/>
          <w:kern w:val="0"/>
          <w:sz w:val="20"/>
          <w:szCs w:val="20"/>
        </w:rPr>
        <w:t>e meeting.</w:t>
      </w:r>
    </w:p>
    <w:p>
      <w:pPr>
        <w:pStyle w:val="29"/>
        <w:suppressAutoHyphens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Table 1 shows the Doppler frequency shift range for different scenarios and different channel models. The Doppler shift variation is collected when the CPE is served by the same RRH.</w:t>
      </w:r>
    </w:p>
    <w:p>
      <w:pPr>
        <w:pStyle w:val="29"/>
        <w:suppressAutoHyphens/>
        <w:adjustRightInd w:val="0"/>
        <w:snapToGrid w:val="0"/>
        <w:spacing w:line="240" w:lineRule="auto"/>
        <w:ind w:firstLine="0" w:firstLineChars="0"/>
        <w:jc w:val="center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Table 1, the range of Doppler shift variation for different scenarios and different channel models</w:t>
      </w:r>
    </w:p>
    <w:tbl>
      <w:tblPr>
        <w:tblStyle w:val="18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3"/>
        <w:gridCol w:w="2959"/>
        <w:gridCol w:w="3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3" w:type="dxa"/>
            <w:vMerge w:val="restart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deployment &amp; channel model</w:t>
            </w:r>
          </w:p>
        </w:tc>
        <w:tc>
          <w:tcPr>
            <w:tcW w:w="6131" w:type="dxa"/>
            <w:gridSpan w:val="2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Range of Doppler shift variation(Hz)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3" w:type="dxa"/>
            <w:vMerge w:val="continue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</w:p>
        </w:tc>
        <w:tc>
          <w:tcPr>
            <w:tcW w:w="2959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Dmin = 10m,</w:t>
            </w:r>
          </w:p>
        </w:tc>
        <w:tc>
          <w:tcPr>
            <w:tcW w:w="3172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Dmin = 150,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3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Uni- DPS channel(Ds_offset = 50)</w:t>
            </w:r>
          </w:p>
        </w:tc>
        <w:tc>
          <w:tcPr>
            <w:tcW w:w="2959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187.93</w:t>
            </w:r>
          </w:p>
        </w:tc>
        <w:tc>
          <w:tcPr>
            <w:tcW w:w="3172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6459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3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Bi-DPS option (a)</w:t>
            </w:r>
          </w:p>
        </w:tc>
        <w:tc>
          <w:tcPr>
            <w:tcW w:w="2959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2.97</w:t>
            </w:r>
          </w:p>
        </w:tc>
        <w:tc>
          <w:tcPr>
            <w:tcW w:w="3172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570.28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3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Bi-DPS option (b)(Ds_offset = 50)</w:t>
            </w:r>
          </w:p>
        </w:tc>
        <w:tc>
          <w:tcPr>
            <w:tcW w:w="2959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184.83</w:t>
            </w:r>
          </w:p>
        </w:tc>
        <w:tc>
          <w:tcPr>
            <w:tcW w:w="3172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5861.70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3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Bi-DPS option (c)</w:t>
            </w:r>
          </w:p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(A_offset = Ds/4,B_offset = Ds/4)</w:t>
            </w:r>
          </w:p>
        </w:tc>
        <w:tc>
          <w:tcPr>
            <w:tcW w:w="2959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11.87</w:t>
            </w:r>
          </w:p>
        </w:tc>
        <w:tc>
          <w:tcPr>
            <w:tcW w:w="3172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1554.47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3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Bi-DPS option (</w:t>
            </w: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)</w:t>
            </w:r>
          </w:p>
        </w:tc>
        <w:tc>
          <w:tcPr>
            <w:tcW w:w="2959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2.97</w:t>
            </w:r>
          </w:p>
        </w:tc>
        <w:tc>
          <w:tcPr>
            <w:tcW w:w="3172" w:type="dxa"/>
            <w:vAlign w:val="center"/>
          </w:tcPr>
          <w:p>
            <w:pPr>
              <w:pStyle w:val="29"/>
              <w:suppressAutoHyphens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570.28</w:t>
            </w:r>
          </w:p>
        </w:tc>
      </w:tr>
    </w:tbl>
    <w:p>
      <w:pPr>
        <w:pStyle w:val="29"/>
        <w:suppressAutoHyphens/>
        <w:spacing w:after="80" w:line="260" w:lineRule="auto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We find from table 1 that the maximum Doppler shift variation is 5861.70Hz</w:t>
      </w:r>
      <w:r>
        <w:rPr>
          <w:rFonts w:hint="eastAsia" w:ascii="Times New Roman" w:hAnsi="Times New Roman"/>
          <w:bCs/>
          <w:kern w:val="0"/>
          <w:sz w:val="20"/>
          <w:szCs w:val="20"/>
        </w:rPr>
        <w:t>.I</w:t>
      </w:r>
      <w:r>
        <w:rPr>
          <w:rFonts w:ascii="Times New Roman" w:hAnsi="Times New Roman"/>
          <w:bCs/>
          <w:kern w:val="0"/>
          <w:sz w:val="20"/>
          <w:szCs w:val="20"/>
        </w:rPr>
        <w:t>f SSB of 20 ms period is considered, the maximum Doppler shift variation is shown in figure 1.</w:t>
      </w:r>
    </w:p>
    <w:p>
      <w:pPr>
        <w:pStyle w:val="29"/>
        <w:suppressAutoHyphens/>
        <w:spacing w:after="80" w:line="260" w:lineRule="auto"/>
        <w:ind w:firstLine="0" w:firstLineChars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drawing>
          <wp:inline distT="0" distB="0" distL="0" distR="0">
            <wp:extent cx="2687955" cy="2171065"/>
            <wp:effectExtent l="0" t="0" r="9525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025" t="1730" r="6883" b="2349"/>
                    <a:stretch>
                      <a:fillRect/>
                    </a:stretch>
                  </pic:blipFill>
                  <pic:spPr>
                    <a:xfrm>
                      <a:off x="0" y="0"/>
                      <a:ext cx="2687955" cy="217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9"/>
        <w:suppressAutoHyphens/>
        <w:spacing w:after="80" w:line="260" w:lineRule="auto"/>
        <w:ind w:firstLine="0" w:firstLineChars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Figure 1, Doppler shift variation when 20 ms period of SSB is considered</w:t>
      </w:r>
    </w:p>
    <w:p>
      <w:pPr>
        <w:pStyle w:val="29"/>
        <w:suppressAutoHyphens/>
        <w:spacing w:after="80" w:line="260" w:lineRule="auto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From figure 1 we can see that the maximum Doppler shift variation within 20 ms is not larger than 120 Hz, an</w:t>
      </w:r>
      <w:r>
        <w:rPr>
          <w:rFonts w:hint="eastAsia" w:ascii="Times New Roman" w:hAnsi="Times New Roman"/>
          <w:bCs/>
          <w:kern w:val="0"/>
          <w:sz w:val="20"/>
          <w:szCs w:val="20"/>
        </w:rPr>
        <w:t>d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the correlation time for 120 Hz is 3.5ms which is much larger than the duration of a slot with u equals to 3.</w:t>
      </w:r>
    </w:p>
    <w:p>
      <w:pPr>
        <w:pStyle w:val="29"/>
        <w:suppressAutoHyphens/>
        <w:spacing w:after="80" w:line="260" w:lineRule="auto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There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would be no time selective fading 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affection 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within a slot when the correlation time 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is </w:t>
      </w:r>
      <w:r>
        <w:rPr>
          <w:rFonts w:ascii="Times New Roman" w:hAnsi="Times New Roman"/>
          <w:bCs/>
          <w:kern w:val="0"/>
          <w:sz w:val="20"/>
          <w:szCs w:val="20"/>
        </w:rPr>
        <w:t>larger than a slot duration, it means 1 DMRS is enough to demodulation when the period of TRS or SSB is less than 40 ms.</w:t>
      </w:r>
    </w:p>
    <w:p>
      <w:pPr>
        <w:pStyle w:val="29"/>
        <w:suppressAutoHyphens/>
        <w:spacing w:after="80" w:line="260" w:lineRule="auto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In order to reduce the test effort, applicability rule needs to be considered.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>Proposal 1: The candidate RS configuration options for PDSCH can be supported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and applicability rule need to be considered to reduce the test effort</w:t>
      </w:r>
      <w:r>
        <w:rPr>
          <w:rFonts w:ascii="Times New Roman" w:hAnsi="Times New Roman"/>
          <w:b/>
          <w:kern w:val="0"/>
          <w:sz w:val="20"/>
          <w:szCs w:val="20"/>
        </w:rPr>
        <w:t>.</w:t>
      </w:r>
    </w:p>
    <w:p>
      <w:pPr>
        <w:pStyle w:val="29"/>
        <w:suppressAutoHyphens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For Doppler frequency for PDSCH requirement, two options for bi-directional deployment were reached in RAN 4#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bCs/>
          <w:kern w:val="0"/>
          <w:sz w:val="20"/>
          <w:szCs w:val="20"/>
        </w:rPr>
        <w:t>99-e meeting.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Doppler frequency for PDSCH requirement</w:t>
            </w:r>
          </w:p>
          <w:p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Doppler frequency for PDSCH requirement in Bi-directional deployment scenario, if Bi-directional deployment scenario is introduced  </w:t>
            </w:r>
          </w:p>
          <w:p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Option 1: 9722Hz targeting 350km/h at 30GHz</w:t>
            </w:r>
          </w:p>
          <w:p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Option 2: 7000Hz with the smallest RS range of frequency offset estimation</w:t>
            </w:r>
          </w:p>
          <w:p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Doppler frequency for PDSCH requirement in Uni-directional deployment scenario, if Uni -directional deployment scenario is introduced  </w:t>
            </w:r>
          </w:p>
          <w:p>
            <w:pPr>
              <w:pStyle w:val="29"/>
              <w:numPr>
                <w:ilvl w:val="0"/>
                <w:numId w:val="7"/>
              </w:numPr>
              <w:suppressAutoHyphens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9722Hz targeting 350km/h at 30GHz</w:t>
            </w:r>
          </w:p>
        </w:tc>
      </w:tr>
    </w:tbl>
    <w:p>
      <w:pPr>
        <w:pStyle w:val="29"/>
        <w:suppressAutoHyphens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 xml:space="preserve">To be exact, the Doppler frequency for uni-directional deployment is not equal to 9722 when Dmin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and RRH height are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taken into consideration especially for scenario-B.</w:t>
      </w:r>
    </w:p>
    <w:p>
      <w:pPr>
        <w:pStyle w:val="29"/>
        <w:suppressAutoHyphens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For uni-directional deployment, the angle between CPE direction and serving beam is neglected. From PDSCH requirement point of view, we propose to use one conservative value for both bi-directional and uni-directional deployment.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>Proposal 2: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Option 1, i.e. </w:t>
      </w:r>
      <w:r>
        <w:rPr>
          <w:rFonts w:ascii="Times New Roman" w:hAnsi="Times New Roman"/>
          <w:b/>
          <w:kern w:val="0"/>
          <w:sz w:val="20"/>
          <w:szCs w:val="20"/>
        </w:rPr>
        <w:t>9722Hz is preferred for bi-directional deployment.</w:t>
      </w:r>
    </w:p>
    <w:p>
      <w:pPr>
        <w:pStyle w:val="29"/>
        <w:suppressAutoHyphens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 xml:space="preserve">There are 2 scenarios and 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each scenario includes </w:t>
      </w:r>
      <w:r>
        <w:rPr>
          <w:rFonts w:ascii="Times New Roman" w:hAnsi="Times New Roman"/>
          <w:bCs/>
          <w:kern w:val="0"/>
          <w:sz w:val="20"/>
          <w:szCs w:val="20"/>
        </w:rPr>
        <w:t>2 deployments. Whether PDSCH requirement should be defined separately and whether applicability rule should be introduced were discussed in RAN4 #99-e meeting and the candidate options are listed as below.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PDSCH requirement for Uni/Bi-directional scenario in scenario A and scenario B</w:t>
            </w:r>
          </w:p>
          <w:p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Option 1: Define PDSCH requirement with Uni/Bi-directional  scenario for both A and B, Define the test applicability rule to reduce the test effort</w:t>
            </w:r>
          </w:p>
          <w:p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Option 2: Define requirements for both scenario A/B, and Uni/Bi-directional deployment, and not define any applicability between</w:t>
            </w:r>
          </w:p>
          <w:p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Option 3 : Consider output of FR2 HST deployment scenario discussion whether to cover scenario A </w:t>
            </w:r>
          </w:p>
          <w:p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Option 4 : RAN4 define two test cases for HST FR2</w:t>
            </w:r>
          </w:p>
          <w:p>
            <w:pPr>
              <w:pStyle w:val="29"/>
              <w:numPr>
                <w:ilvl w:val="0"/>
                <w:numId w:val="7"/>
              </w:numPr>
              <w:suppressAutoHyphens/>
              <w:adjustRightInd w:val="0"/>
              <w:snapToGrid w:val="0"/>
              <w:spacing w:line="240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Test 1: HST single tap (Uni-directional) with scenario A</w:t>
            </w:r>
          </w:p>
          <w:p>
            <w:pPr>
              <w:pStyle w:val="29"/>
              <w:numPr>
                <w:ilvl w:val="0"/>
                <w:numId w:val="7"/>
              </w:numPr>
              <w:suppressAutoHyphens/>
              <w:adjustRightInd w:val="0"/>
              <w:snapToGrid w:val="0"/>
              <w:spacing w:line="240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Test 2: DPS (Uni-directional) with scenario B</w:t>
            </w:r>
          </w:p>
          <w:p>
            <w:pPr>
              <w:pStyle w:val="29"/>
              <w:numPr>
                <w:ilvl w:val="0"/>
                <w:numId w:val="7"/>
              </w:numPr>
              <w:suppressAutoHyphens/>
              <w:adjustRightInd w:val="0"/>
              <w:snapToGrid w:val="0"/>
              <w:spacing w:line="240" w:lineRule="auto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If RAN4 agree to consider both Uni-directional and Bi-directional deployment, either test 1 or 2 apply Bi-directional model</w:t>
            </w:r>
          </w:p>
        </w:tc>
      </w:tr>
    </w:tbl>
    <w:p>
      <w:pPr>
        <w:pStyle w:val="29"/>
        <w:suppressAutoHyphens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D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ifferent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beams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will be configured 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for </w:t>
      </w:r>
      <w:r>
        <w:rPr>
          <w:rFonts w:ascii="Times New Roman" w:hAnsi="Times New Roman"/>
          <w:bCs/>
          <w:kern w:val="0"/>
          <w:sz w:val="20"/>
          <w:szCs w:val="20"/>
        </w:rPr>
        <w:t>different scenario and deployment. The performance will be different for different scenarios and different deployments. In addition</w:t>
      </w:r>
      <w:r>
        <w:rPr>
          <w:rFonts w:hint="eastAsia" w:ascii="Times New Roman" w:hAnsi="Times New Roman"/>
          <w:bCs/>
          <w:kern w:val="0"/>
          <w:sz w:val="20"/>
          <w:szCs w:val="20"/>
        </w:rPr>
        <w:t>,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the necessity of uni-directional deployment for scenario-A is still under discussion in scenario session and RRM session.</w:t>
      </w:r>
    </w:p>
    <w:p>
      <w:pPr>
        <w:pStyle w:val="29"/>
        <w:suppressAutoHyphens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>So we can wait for the output from scenario session and RRM session, if bi-directional deployment is supported in scenario-A the PDSCH requirement should be defined for each combination of scenario and deployment. The transmit schemes for different scenario and deployment are different, the applicability rule is not preferred.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>Proposal 3: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Option 2 is preferred for </w:t>
      </w:r>
      <w:r>
        <w:rPr>
          <w:rFonts w:ascii="Times New Roman" w:hAnsi="Times New Roman"/>
          <w:b/>
          <w:kern w:val="0"/>
          <w:sz w:val="20"/>
          <w:szCs w:val="20"/>
        </w:rPr>
        <w:t>PDSCH requirement for Uni/Bi-directional scenario in scenario A and scenario B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. </w:t>
      </w:r>
    </w:p>
    <w:p>
      <w:pPr>
        <w:rPr>
          <w:b/>
          <w:szCs w:val="20"/>
        </w:rPr>
      </w:pPr>
      <w:r>
        <w:rPr>
          <w:b/>
          <w:szCs w:val="20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rPr>
          <w:rFonts w:eastAsia="宋体"/>
          <w:bCs/>
          <w:szCs w:val="20"/>
          <w:lang w:eastAsia="zh-CN"/>
        </w:rPr>
      </w:pPr>
      <w:r>
        <w:rPr>
          <w:rFonts w:hint="eastAsia" w:eastAsia="宋体"/>
          <w:bCs/>
          <w:szCs w:val="20"/>
          <w:lang w:eastAsia="zh-CN"/>
        </w:rPr>
        <w:t>Based on the analysis, the following proposals are given: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>Proposal 1: The candidate RS configuration options for PDSCH can be supported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and applicability rule need to be considered to reduce the test effort</w:t>
      </w:r>
      <w:r>
        <w:rPr>
          <w:rFonts w:ascii="Times New Roman" w:hAnsi="Times New Roman"/>
          <w:b/>
          <w:kern w:val="0"/>
          <w:sz w:val="20"/>
          <w:szCs w:val="20"/>
        </w:rPr>
        <w:t>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>Proposal 2: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Option 1, i.e. </w:t>
      </w:r>
      <w:r>
        <w:rPr>
          <w:rFonts w:ascii="Times New Roman" w:hAnsi="Times New Roman"/>
          <w:b/>
          <w:kern w:val="0"/>
          <w:sz w:val="20"/>
          <w:szCs w:val="20"/>
        </w:rPr>
        <w:t>9722Hz is preferred for bi-directional deployment.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b/>
          <w:kern w:val="0"/>
          <w:sz w:val="20"/>
          <w:szCs w:val="20"/>
        </w:rPr>
        <w:t>Proposal 3: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Option 2 is preferred for </w:t>
      </w:r>
      <w:r>
        <w:rPr>
          <w:rFonts w:ascii="Times New Roman" w:hAnsi="Times New Roman"/>
          <w:b/>
          <w:kern w:val="0"/>
          <w:sz w:val="20"/>
          <w:szCs w:val="20"/>
        </w:rPr>
        <w:t>PDSCH requirement for Uni/Bi-directional scenario in scenario A and scenario B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. 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  <w:rPr>
          <w:sz w:val="20"/>
          <w:szCs w:val="20"/>
        </w:rPr>
      </w:pPr>
      <w:r>
        <w:rPr>
          <w:rFonts w:hint="eastAsia"/>
          <w:sz w:val="20"/>
          <w:szCs w:val="20"/>
          <w:lang w:val="en-US"/>
        </w:rPr>
        <w:t>R4-2108637 WF for FR2 HST Demodulation</w:t>
      </w:r>
    </w:p>
    <w:p>
      <w:pPr>
        <w:pStyle w:val="9"/>
        <w:numPr>
          <w:ilvl w:val="0"/>
          <w:numId w:val="0"/>
        </w:num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3</w:t>
    </w:r>
    <w:r>
      <w:rPr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47A3F9"/>
    <w:multiLevelType w:val="singleLevel"/>
    <w:tmpl w:val="CA47A3F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 w:cs="Wingdings"/>
      </w:rPr>
    </w:lvl>
  </w:abstractNum>
  <w:abstractNum w:abstractNumId="1">
    <w:nsid w:val="EAC1F30F"/>
    <w:multiLevelType w:val="singleLevel"/>
    <w:tmpl w:val="EAC1F30F"/>
    <w:lvl w:ilvl="0" w:tentative="0">
      <w:start w:val="1"/>
      <w:numFmt w:val="bullet"/>
      <w:lvlText w:val="·"/>
      <w:lvlJc w:val="left"/>
      <w:pPr>
        <w:tabs>
          <w:tab w:val="left" w:pos="420"/>
        </w:tabs>
        <w:ind w:left="840" w:hanging="420"/>
      </w:pPr>
      <w:rPr>
        <w:rFonts w:hint="default" w:ascii="宋体" w:hAnsi="宋体" w:eastAsia="宋体" w:cs="宋体"/>
      </w:rPr>
    </w:lvl>
  </w:abstractNum>
  <w:abstractNum w:abstractNumId="2">
    <w:nsid w:val="F555371E"/>
    <w:multiLevelType w:val="singleLevel"/>
    <w:tmpl w:val="F555371E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BatangChe" w:hAnsi="BatangChe" w:eastAsia="BatangChe" w:cs="BatangChe"/>
      </w:rPr>
    </w:lvl>
  </w:abstractNum>
  <w:abstractNum w:abstractNumId="3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92589E1"/>
    <w:multiLevelType w:val="singleLevel"/>
    <w:tmpl w:val="692589E1"/>
    <w:lvl w:ilvl="0" w:tentative="0">
      <w:start w:val="1"/>
      <w:numFmt w:val="bullet"/>
      <w:lvlText w:val="·"/>
      <w:lvlJc w:val="left"/>
      <w:pPr>
        <w:tabs>
          <w:tab w:val="left" w:pos="420"/>
        </w:tabs>
        <w:ind w:left="840" w:hanging="420"/>
      </w:pPr>
      <w:rPr>
        <w:rFonts w:hint="default" w:ascii="宋体" w:hAnsi="宋体" w:eastAsia="宋体" w:cs="宋体"/>
      </w:rPr>
    </w:lvl>
  </w:abstractNum>
  <w:abstractNum w:abstractNumId="6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5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2E8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28E9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1551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1EC6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3DA0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5F62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963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62DB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B73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1E39"/>
    <w:rsid w:val="00F74AA8"/>
    <w:rsid w:val="00F74D09"/>
    <w:rsid w:val="00F75643"/>
    <w:rsid w:val="00F765F8"/>
    <w:rsid w:val="00F776A2"/>
    <w:rsid w:val="00F81824"/>
    <w:rsid w:val="00F81EE2"/>
    <w:rsid w:val="00F8203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8B3BAA"/>
    <w:rsid w:val="02065A2E"/>
    <w:rsid w:val="02626E3D"/>
    <w:rsid w:val="0298367A"/>
    <w:rsid w:val="02D254EC"/>
    <w:rsid w:val="02D9188D"/>
    <w:rsid w:val="02FE5F82"/>
    <w:rsid w:val="032D5AEE"/>
    <w:rsid w:val="03AB67DC"/>
    <w:rsid w:val="043D2559"/>
    <w:rsid w:val="0478015E"/>
    <w:rsid w:val="05510DD1"/>
    <w:rsid w:val="062A620F"/>
    <w:rsid w:val="064B00B0"/>
    <w:rsid w:val="06654A0B"/>
    <w:rsid w:val="06823D8F"/>
    <w:rsid w:val="07622262"/>
    <w:rsid w:val="07CD3CDD"/>
    <w:rsid w:val="0887491B"/>
    <w:rsid w:val="09674661"/>
    <w:rsid w:val="097E672F"/>
    <w:rsid w:val="09825F02"/>
    <w:rsid w:val="09AB6C45"/>
    <w:rsid w:val="0A731B50"/>
    <w:rsid w:val="0B802D0D"/>
    <w:rsid w:val="0BF41031"/>
    <w:rsid w:val="0C953742"/>
    <w:rsid w:val="0D744565"/>
    <w:rsid w:val="0D7F564D"/>
    <w:rsid w:val="0D835665"/>
    <w:rsid w:val="0DE052FE"/>
    <w:rsid w:val="0E3330D0"/>
    <w:rsid w:val="0E9C3144"/>
    <w:rsid w:val="0F11785B"/>
    <w:rsid w:val="0F372967"/>
    <w:rsid w:val="0FDA7DDA"/>
    <w:rsid w:val="11A50508"/>
    <w:rsid w:val="120639A8"/>
    <w:rsid w:val="125D4125"/>
    <w:rsid w:val="13583391"/>
    <w:rsid w:val="137F4008"/>
    <w:rsid w:val="13F672DD"/>
    <w:rsid w:val="141B497D"/>
    <w:rsid w:val="144E5CD4"/>
    <w:rsid w:val="15E12A88"/>
    <w:rsid w:val="15E95672"/>
    <w:rsid w:val="16271D63"/>
    <w:rsid w:val="16BD2FB9"/>
    <w:rsid w:val="16E7731D"/>
    <w:rsid w:val="19607D81"/>
    <w:rsid w:val="19AF5CF6"/>
    <w:rsid w:val="1AA54D0B"/>
    <w:rsid w:val="1C3672FA"/>
    <w:rsid w:val="1D186F9D"/>
    <w:rsid w:val="1DA251E1"/>
    <w:rsid w:val="1DA93704"/>
    <w:rsid w:val="1F4325C8"/>
    <w:rsid w:val="1F595BBB"/>
    <w:rsid w:val="1F7C7957"/>
    <w:rsid w:val="1FD21E35"/>
    <w:rsid w:val="1FD96681"/>
    <w:rsid w:val="1FE10390"/>
    <w:rsid w:val="1FEE7A9C"/>
    <w:rsid w:val="205164A7"/>
    <w:rsid w:val="2090238B"/>
    <w:rsid w:val="216D7544"/>
    <w:rsid w:val="21B80AA5"/>
    <w:rsid w:val="225216B5"/>
    <w:rsid w:val="22B37446"/>
    <w:rsid w:val="235408E6"/>
    <w:rsid w:val="24715F69"/>
    <w:rsid w:val="24B140D4"/>
    <w:rsid w:val="24F907DC"/>
    <w:rsid w:val="25EF43C8"/>
    <w:rsid w:val="262E08BF"/>
    <w:rsid w:val="263951B2"/>
    <w:rsid w:val="263E55AD"/>
    <w:rsid w:val="268E26B3"/>
    <w:rsid w:val="28A96A0F"/>
    <w:rsid w:val="28EE7A07"/>
    <w:rsid w:val="29D6402F"/>
    <w:rsid w:val="2A455DA0"/>
    <w:rsid w:val="2AB04251"/>
    <w:rsid w:val="2AE8229B"/>
    <w:rsid w:val="2AEC42E5"/>
    <w:rsid w:val="2B034D47"/>
    <w:rsid w:val="2B641C02"/>
    <w:rsid w:val="2B6F681F"/>
    <w:rsid w:val="2B893BA3"/>
    <w:rsid w:val="2BC82480"/>
    <w:rsid w:val="2BEB375B"/>
    <w:rsid w:val="2C1A5D63"/>
    <w:rsid w:val="2C80477B"/>
    <w:rsid w:val="2CA73FE3"/>
    <w:rsid w:val="2CE15438"/>
    <w:rsid w:val="2D812190"/>
    <w:rsid w:val="2DA94150"/>
    <w:rsid w:val="2E1176AC"/>
    <w:rsid w:val="2ECB7AE0"/>
    <w:rsid w:val="2EF414EA"/>
    <w:rsid w:val="2F0E5D72"/>
    <w:rsid w:val="2F322289"/>
    <w:rsid w:val="30571C73"/>
    <w:rsid w:val="316C26E3"/>
    <w:rsid w:val="32305666"/>
    <w:rsid w:val="328D4D87"/>
    <w:rsid w:val="33021368"/>
    <w:rsid w:val="33133DBA"/>
    <w:rsid w:val="33491F36"/>
    <w:rsid w:val="33883009"/>
    <w:rsid w:val="34D8630F"/>
    <w:rsid w:val="34EA3595"/>
    <w:rsid w:val="34F31159"/>
    <w:rsid w:val="35684E72"/>
    <w:rsid w:val="35D34EB8"/>
    <w:rsid w:val="36950F43"/>
    <w:rsid w:val="388E6306"/>
    <w:rsid w:val="393853EE"/>
    <w:rsid w:val="394625F7"/>
    <w:rsid w:val="39A12E64"/>
    <w:rsid w:val="39E551C2"/>
    <w:rsid w:val="3A985F9F"/>
    <w:rsid w:val="3ACA79CB"/>
    <w:rsid w:val="3ACD696C"/>
    <w:rsid w:val="3B1D04C9"/>
    <w:rsid w:val="3B924465"/>
    <w:rsid w:val="3BA94452"/>
    <w:rsid w:val="3C8B2EA4"/>
    <w:rsid w:val="3CC85F33"/>
    <w:rsid w:val="3D6F2596"/>
    <w:rsid w:val="3E3D115C"/>
    <w:rsid w:val="3E816ACA"/>
    <w:rsid w:val="3EBA3F51"/>
    <w:rsid w:val="3ED90D52"/>
    <w:rsid w:val="3EFB0DA2"/>
    <w:rsid w:val="3F4371E9"/>
    <w:rsid w:val="3F5B25E2"/>
    <w:rsid w:val="3FBE5D52"/>
    <w:rsid w:val="403917EB"/>
    <w:rsid w:val="404F7A6B"/>
    <w:rsid w:val="40705D5D"/>
    <w:rsid w:val="409F21DC"/>
    <w:rsid w:val="40C765F3"/>
    <w:rsid w:val="40FE200B"/>
    <w:rsid w:val="41256FB7"/>
    <w:rsid w:val="412D7CE4"/>
    <w:rsid w:val="43776349"/>
    <w:rsid w:val="44B2766E"/>
    <w:rsid w:val="458F4D24"/>
    <w:rsid w:val="459C5BD8"/>
    <w:rsid w:val="45F60A50"/>
    <w:rsid w:val="4853345A"/>
    <w:rsid w:val="490D3059"/>
    <w:rsid w:val="49500FEB"/>
    <w:rsid w:val="49F32E1B"/>
    <w:rsid w:val="4A0B7057"/>
    <w:rsid w:val="4A280667"/>
    <w:rsid w:val="4A511B6E"/>
    <w:rsid w:val="4A7C4548"/>
    <w:rsid w:val="4B901389"/>
    <w:rsid w:val="4CBF03D6"/>
    <w:rsid w:val="4D513299"/>
    <w:rsid w:val="4DA22392"/>
    <w:rsid w:val="4E9A7FF9"/>
    <w:rsid w:val="4EDF702E"/>
    <w:rsid w:val="4F047884"/>
    <w:rsid w:val="4F813AF7"/>
    <w:rsid w:val="4FBD6EC5"/>
    <w:rsid w:val="4FBF1AB2"/>
    <w:rsid w:val="504E5AC6"/>
    <w:rsid w:val="505076EF"/>
    <w:rsid w:val="508A0B34"/>
    <w:rsid w:val="513C5648"/>
    <w:rsid w:val="51B14BED"/>
    <w:rsid w:val="51FA3D86"/>
    <w:rsid w:val="52022698"/>
    <w:rsid w:val="54175BE1"/>
    <w:rsid w:val="5445166E"/>
    <w:rsid w:val="54632332"/>
    <w:rsid w:val="548C1499"/>
    <w:rsid w:val="54A50B55"/>
    <w:rsid w:val="55436523"/>
    <w:rsid w:val="563C5184"/>
    <w:rsid w:val="565631F5"/>
    <w:rsid w:val="56C44CD3"/>
    <w:rsid w:val="581B09AF"/>
    <w:rsid w:val="589F3533"/>
    <w:rsid w:val="593261D2"/>
    <w:rsid w:val="595A6E9E"/>
    <w:rsid w:val="5A8F1C82"/>
    <w:rsid w:val="5AA04D8D"/>
    <w:rsid w:val="5AFF5DE6"/>
    <w:rsid w:val="5B4026E8"/>
    <w:rsid w:val="5B482E24"/>
    <w:rsid w:val="5BC01B6F"/>
    <w:rsid w:val="5D5C7688"/>
    <w:rsid w:val="5E336F39"/>
    <w:rsid w:val="608E2F6C"/>
    <w:rsid w:val="60EC3C37"/>
    <w:rsid w:val="60FC6ECC"/>
    <w:rsid w:val="61E23B05"/>
    <w:rsid w:val="63610183"/>
    <w:rsid w:val="637947A5"/>
    <w:rsid w:val="63D0005D"/>
    <w:rsid w:val="64B7605C"/>
    <w:rsid w:val="652B096E"/>
    <w:rsid w:val="65615336"/>
    <w:rsid w:val="66E16576"/>
    <w:rsid w:val="66E33C2D"/>
    <w:rsid w:val="671E1B5F"/>
    <w:rsid w:val="67427945"/>
    <w:rsid w:val="68233C28"/>
    <w:rsid w:val="692A17F3"/>
    <w:rsid w:val="6A2E4954"/>
    <w:rsid w:val="6AC9421D"/>
    <w:rsid w:val="6AD94F47"/>
    <w:rsid w:val="6BA62A97"/>
    <w:rsid w:val="6CDA49A3"/>
    <w:rsid w:val="6CF36133"/>
    <w:rsid w:val="6DD1076A"/>
    <w:rsid w:val="6DDE3DAF"/>
    <w:rsid w:val="6E1735DC"/>
    <w:rsid w:val="70E13200"/>
    <w:rsid w:val="715F4C2D"/>
    <w:rsid w:val="724530CF"/>
    <w:rsid w:val="72CB7F46"/>
    <w:rsid w:val="73121CB7"/>
    <w:rsid w:val="745C121D"/>
    <w:rsid w:val="755C4C37"/>
    <w:rsid w:val="761A2E8D"/>
    <w:rsid w:val="768D7CD7"/>
    <w:rsid w:val="776C25E5"/>
    <w:rsid w:val="77B7237F"/>
    <w:rsid w:val="78271104"/>
    <w:rsid w:val="784B7472"/>
    <w:rsid w:val="7962750F"/>
    <w:rsid w:val="796B0021"/>
    <w:rsid w:val="797218E2"/>
    <w:rsid w:val="7AB05BBC"/>
    <w:rsid w:val="7AB94AC3"/>
    <w:rsid w:val="7AE36910"/>
    <w:rsid w:val="7BF8597E"/>
    <w:rsid w:val="7C14711B"/>
    <w:rsid w:val="7C312516"/>
    <w:rsid w:val="7C45431D"/>
    <w:rsid w:val="7C4A144B"/>
    <w:rsid w:val="7C5E2D26"/>
    <w:rsid w:val="7C963B24"/>
    <w:rsid w:val="7D4C1C46"/>
    <w:rsid w:val="7DDD0501"/>
    <w:rsid w:val="7E176029"/>
    <w:rsid w:val="7E2653BA"/>
    <w:rsid w:val="7E2B63E7"/>
    <w:rsid w:val="7E8B79FF"/>
    <w:rsid w:val="7E935AFB"/>
    <w:rsid w:val="7EC65AAB"/>
    <w:rsid w:val="7F4610EC"/>
    <w:rsid w:val="7F50759A"/>
    <w:rsid w:val="7FA522BC"/>
    <w:rsid w:val="7FC90A85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3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8"/>
    <w:next w:val="8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标题 2 Char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正文文本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4</Pages>
  <Words>896</Words>
  <Characters>5111</Characters>
  <Lines>42</Lines>
  <Paragraphs>11</Paragraphs>
  <TotalTime>16</TotalTime>
  <ScaleCrop>false</ScaleCrop>
  <LinksUpToDate>false</LinksUpToDate>
  <CharactersWithSpaces>5996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ZTE(Liu Wenhao)</cp:lastModifiedBy>
  <cp:lastPrinted>2015-02-02T11:17:00Z</cp:lastPrinted>
  <dcterms:modified xsi:type="dcterms:W3CDTF">2021-08-06T13:40:07Z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